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w:t>
      </w:r>
    </w:p>
    <w:p>
      <w:pPr>
        <w:pStyle w:val="7"/>
        <w:numPr>
          <w:ilvl w:val="0"/>
          <w:numId w:val="0"/>
        </w:numPr>
        <w:spacing w:line="480" w:lineRule="auto"/>
        <w:jc w:val="center"/>
        <w:rPr>
          <w:rFonts w:hint="eastAsia"/>
          <w:b/>
          <w:bCs/>
          <w:sz w:val="28"/>
          <w:szCs w:val="28"/>
          <w:lang w:val="en-US" w:eastAsia="zh-CN"/>
        </w:rPr>
      </w:pPr>
      <w:r>
        <w:rPr>
          <w:rFonts w:hint="eastAsia"/>
          <w:b/>
          <w:bCs/>
          <w:sz w:val="28"/>
          <w:szCs w:val="28"/>
          <w:lang w:val="en-US" w:eastAsia="zh-CN"/>
        </w:rPr>
        <w:t>检验系统升级改造采购需求</w:t>
      </w:r>
    </w:p>
    <w:p>
      <w:pPr>
        <w:pStyle w:val="2"/>
        <w:keepNext w:val="0"/>
        <w:keepLines w:val="0"/>
        <w:pageBreakBefore w:val="0"/>
        <w:numPr>
          <w:ilvl w:val="1"/>
          <w:numId w:val="0"/>
        </w:numPr>
        <w:tabs>
          <w:tab w:val="left" w:pos="1080"/>
          <w:tab w:val="clear" w:pos="1077"/>
          <w:tab w:val="clear" w:pos="2070"/>
          <w:tab w:val="clear" w:pos="9723"/>
        </w:tabs>
        <w:kinsoku/>
        <w:wordWrap/>
        <w:overflowPunct/>
        <w:topLinePunct w:val="0"/>
        <w:autoSpaceDE/>
        <w:autoSpaceDN/>
        <w:bidi w:val="0"/>
        <w:adjustRightInd/>
        <w:snapToGrid/>
        <w:spacing w:before="0" w:beforeLines="0" w:after="0" w:afterLines="0" w:line="360" w:lineRule="auto"/>
        <w:ind w:leftChars="0"/>
        <w:jc w:val="left"/>
        <w:textAlignment w:val="auto"/>
        <w:rPr>
          <w:rFonts w:hint="default" w:ascii="宋体" w:hAnsi="宋体" w:eastAsia="宋体" w:cs="Times New Roman"/>
          <w:sz w:val="28"/>
          <w:szCs w:val="28"/>
          <w:lang w:val="en-US" w:eastAsia="zh-CN"/>
        </w:rPr>
      </w:pPr>
      <w:bookmarkStart w:id="0" w:name="_Toc12877"/>
      <w:bookmarkStart w:id="1" w:name="_Toc25149"/>
      <w:r>
        <w:rPr>
          <w:rFonts w:hint="eastAsia" w:ascii="宋体" w:hAnsi="宋体" w:eastAsia="宋体" w:cs="Times New Roman"/>
          <w:sz w:val="28"/>
          <w:szCs w:val="28"/>
          <w:lang w:val="en-US" w:eastAsia="zh-CN"/>
        </w:rPr>
        <w:t>1.</w:t>
      </w:r>
      <w:r>
        <w:rPr>
          <w:rFonts w:hint="eastAsia" w:ascii="宋体" w:hAnsi="宋体" w:cs="Times New Roman"/>
          <w:sz w:val="24"/>
          <w:szCs w:val="24"/>
          <w:lang w:val="en-US" w:eastAsia="zh-CN"/>
        </w:rPr>
        <w:t>接口开发</w:t>
      </w:r>
      <w:r>
        <w:rPr>
          <w:rFonts w:hint="eastAsia" w:ascii="宋体" w:hAnsi="宋体" w:eastAsia="宋体" w:cs="Times New Roman"/>
          <w:sz w:val="24"/>
          <w:szCs w:val="24"/>
        </w:rPr>
        <w:t>改造</w:t>
      </w:r>
      <w:bookmarkEnd w:id="0"/>
      <w:bookmarkEnd w:id="1"/>
      <w:r>
        <w:rPr>
          <w:rFonts w:hint="eastAsia" w:ascii="宋体" w:hAnsi="宋体" w:cs="Times New Roman"/>
          <w:sz w:val="24"/>
          <w:szCs w:val="24"/>
          <w:lang w:val="en-US" w:eastAsia="zh-CN"/>
        </w:rPr>
        <w:t>与系统升级</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与</w:t>
      </w:r>
      <w:r>
        <w:rPr>
          <w:rFonts w:hint="eastAsia" w:ascii="宋体" w:hAnsi="宋体" w:cs="宋体"/>
          <w:color w:val="auto"/>
          <w:sz w:val="24"/>
          <w:highlight w:val="none"/>
          <w:lang w:val="en-US" w:eastAsia="zh-CN"/>
        </w:rPr>
        <w:t>平</w:t>
      </w:r>
      <w:r>
        <w:rPr>
          <w:rFonts w:hint="eastAsia" w:ascii="宋体" w:hAnsi="宋体" w:eastAsia="宋体" w:cs="宋体"/>
          <w:color w:val="auto"/>
          <w:sz w:val="24"/>
          <w:highlight w:val="none"/>
          <w:lang w:val="en-US" w:eastAsia="zh-CN"/>
        </w:rPr>
        <w:t>台系统的接口开发内容，主要包括：</w:t>
      </w:r>
      <w:r>
        <w:rPr>
          <w:rFonts w:hint="eastAsia" w:ascii="宋体" w:hAnsi="宋体" w:eastAsia="宋体" w:cs="宋体"/>
          <w:color w:val="auto"/>
          <w:sz w:val="24"/>
          <w:highlight w:val="none"/>
        </w:rPr>
        <w:t>医护人员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科室、检验项目、检验标本的</w:t>
      </w:r>
      <w:r>
        <w:rPr>
          <w:rFonts w:hint="eastAsia" w:ascii="宋体" w:hAnsi="宋体" w:eastAsia="宋体" w:cs="宋体"/>
          <w:color w:val="auto"/>
          <w:sz w:val="24"/>
          <w:highlight w:val="none"/>
        </w:rPr>
        <w:t>信息注册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更新、查询，</w:t>
      </w:r>
      <w:r>
        <w:rPr>
          <w:rFonts w:hint="eastAsia" w:ascii="宋体" w:hAnsi="宋体" w:eastAsia="宋体" w:cs="宋体"/>
          <w:color w:val="auto"/>
          <w:sz w:val="24"/>
          <w:highlight w:val="none"/>
        </w:rPr>
        <w:t>检验申请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数据推送与接收服务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医嘱状态</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数据接收与推送服务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检验</w:t>
      </w:r>
      <w:r>
        <w:rPr>
          <w:rFonts w:hint="eastAsia" w:ascii="宋体" w:hAnsi="宋体" w:eastAsia="宋体" w:cs="宋体"/>
          <w:color w:val="auto"/>
          <w:sz w:val="24"/>
          <w:highlight w:val="none"/>
          <w:lang w:val="en-US" w:eastAsia="zh-CN"/>
        </w:rPr>
        <w:t>报告-</w:t>
      </w:r>
      <w:r>
        <w:rPr>
          <w:rFonts w:hint="eastAsia" w:ascii="宋体" w:hAnsi="宋体" w:eastAsia="宋体" w:cs="宋体"/>
          <w:color w:val="auto"/>
          <w:sz w:val="24"/>
          <w:highlight w:val="none"/>
        </w:rPr>
        <w:t>数据推送与接收服务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业务数据接口-</w:t>
      </w:r>
      <w:r>
        <w:rPr>
          <w:rFonts w:hint="eastAsia" w:ascii="宋体" w:hAnsi="宋体" w:eastAsia="宋体" w:cs="宋体"/>
          <w:color w:val="auto"/>
          <w:sz w:val="24"/>
          <w:highlight w:val="none"/>
        </w:rPr>
        <w:t>检验</w:t>
      </w:r>
      <w:r>
        <w:rPr>
          <w:rFonts w:hint="eastAsia" w:ascii="宋体" w:hAnsi="宋体" w:eastAsia="宋体" w:cs="宋体"/>
          <w:color w:val="auto"/>
          <w:sz w:val="24"/>
          <w:highlight w:val="none"/>
          <w:lang w:val="en-US" w:eastAsia="zh-CN"/>
        </w:rPr>
        <w:t>报告-数据查询服务，危急值通知-数据推送与接收，危急值处理-数据推送与接收，单点登录-票据接收，单点登录-票据验证，集成患者360-票据接收，检验申请(登记)记录，标本记录，检验报告主记录，检验报告(结果)明细记录，检验危急值记录，检验流程记录，微生物信息，供药敏试验的抗生素等</w:t>
      </w:r>
      <w:r>
        <w:rPr>
          <w:rFonts w:hint="eastAsia" w:ascii="宋体" w:hAnsi="宋体" w:eastAsia="宋体" w:cs="宋体"/>
          <w:color w:val="auto"/>
          <w:sz w:val="24"/>
          <w:highlight w:val="none"/>
          <w:lang w:eastAsia="zh-CN"/>
        </w:rPr>
        <w:t>。</w:t>
      </w:r>
    </w:p>
    <w:p>
      <w:r>
        <w:rPr>
          <w:rFonts w:hint="eastAsia" w:ascii="宋体" w:hAnsi="宋体" w:cs="宋体"/>
          <w:color w:val="auto"/>
          <w:sz w:val="24"/>
          <w:highlight w:val="none"/>
          <w:lang w:val="en-US" w:eastAsia="zh-CN"/>
        </w:rPr>
        <w:t>2、系统升级</w:t>
      </w:r>
      <w:r>
        <w:rPr>
          <w:rFonts w:hint="eastAsia" w:ascii="宋体" w:hAnsi="宋体" w:eastAsia="宋体" w:cs="宋体"/>
          <w:color w:val="auto"/>
          <w:sz w:val="24"/>
          <w:highlight w:val="none"/>
        </w:rPr>
        <w:t>，主要包括</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服务器数据结构升级、WEB临床浏览系统升级、工作站服务升级、数据传输系统模块升级等。</w:t>
      </w:r>
    </w:p>
    <w:p>
      <w:pPr>
        <w:pStyle w:val="2"/>
        <w:keepNext w:val="0"/>
        <w:keepLines w:val="0"/>
        <w:pageBreakBefore w:val="0"/>
        <w:numPr>
          <w:ilvl w:val="1"/>
          <w:numId w:val="0"/>
        </w:numPr>
        <w:tabs>
          <w:tab w:val="left" w:pos="1080"/>
          <w:tab w:val="clear" w:pos="1077"/>
          <w:tab w:val="clear" w:pos="2070"/>
          <w:tab w:val="clear" w:pos="9723"/>
        </w:tabs>
        <w:kinsoku/>
        <w:wordWrap/>
        <w:overflowPunct/>
        <w:topLinePunct w:val="0"/>
        <w:autoSpaceDE/>
        <w:autoSpaceDN/>
        <w:bidi w:val="0"/>
        <w:adjustRightInd/>
        <w:snapToGrid/>
        <w:spacing w:before="0" w:beforeLines="0" w:after="0" w:afterLines="0" w:line="360" w:lineRule="auto"/>
        <w:ind w:leftChars="0"/>
        <w:jc w:val="left"/>
        <w:textAlignment w:val="auto"/>
        <w:rPr>
          <w:rFonts w:hint="eastAsia" w:ascii="宋体" w:hAnsi="宋体" w:eastAsia="宋体" w:cs="Times New Roman"/>
          <w:sz w:val="24"/>
          <w:szCs w:val="24"/>
        </w:rPr>
      </w:pPr>
      <w:bookmarkStart w:id="2" w:name="_Toc28072"/>
      <w:r>
        <w:rPr>
          <w:rFonts w:hint="eastAsia" w:ascii="宋体" w:hAnsi="宋体" w:cs="Times New Roman"/>
          <w:sz w:val="24"/>
          <w:szCs w:val="24"/>
          <w:lang w:val="en-US" w:eastAsia="zh-CN"/>
        </w:rPr>
        <w:t>2.接口描述</w:t>
      </w:r>
      <w:bookmarkEnd w:id="2"/>
    </w:p>
    <w:tbl>
      <w:tblPr>
        <w:tblStyle w:val="9"/>
        <w:tblW w:w="10305"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2749"/>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接口类别</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接口名称</w:t>
            </w:r>
          </w:p>
        </w:tc>
        <w:tc>
          <w:tcPr>
            <w:tcW w:w="5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医护人员信息</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rPr>
              <w:t>医护人员信息注册</w:t>
            </w:r>
          </w:p>
        </w:tc>
        <w:tc>
          <w:tcPr>
            <w:tcW w:w="5917" w:type="dxa"/>
            <w:noWrap w:val="0"/>
            <w:vAlign w:val="center"/>
          </w:tcPr>
          <w:p>
            <w:pPr>
              <w:rPr>
                <w:rFonts w:hint="eastAsia" w:ascii="宋体" w:hAnsi="宋体" w:eastAsia="宋体" w:cs="宋体"/>
                <w:sz w:val="21"/>
                <w:szCs w:val="21"/>
                <w:vertAlign w:val="baseline"/>
              </w:rPr>
            </w:pPr>
            <w:r>
              <w:rPr>
                <w:rFonts w:hint="eastAsia"/>
              </w:rPr>
              <w:t>人事系统注册新员工时，由人事系统将人员信息发送给集成平台，由集成平台根据请求消息规则，发送给其他相关业务系统</w:t>
            </w:r>
            <w:r>
              <w:rPr>
                <w:rFonts w:hint="eastAsia"/>
                <w:lang w:val="en-A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0" w:hRule="atLeast"/>
        </w:trPr>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医护人员信息</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医护人员信息查询</w:t>
            </w:r>
          </w:p>
        </w:tc>
        <w:tc>
          <w:tcPr>
            <w:tcW w:w="5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sz w:val="21"/>
                <w:szCs w:val="21"/>
                <w:vertAlign w:val="baseline"/>
              </w:rPr>
            </w:pPr>
            <w:r>
              <w:rPr>
                <w:rFonts w:hint="eastAsia"/>
                <w:lang w:val="en-US" w:eastAsia="zh-CN"/>
              </w:rPr>
              <w:t>业务系统查询人员基本信息，由业务系统触发查询申请给集成平台，平台收到消息后，将请求消息发送给人事系统查询，人事系统将所有的医护人员信息返回给集成平台，由平台返回给请求方。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医护人员信息</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医护人员信息更新</w:t>
            </w:r>
          </w:p>
        </w:tc>
        <w:tc>
          <w:tcPr>
            <w:tcW w:w="5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人事系统注册新员工时，由人事系统将人员信息发送给集成平台，由集成平台根据请求消息规则，发送给其他相关业务系统。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科室病区信息</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科室信息注册</w:t>
            </w:r>
          </w:p>
        </w:tc>
        <w:tc>
          <w:tcPr>
            <w:tcW w:w="5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处理院内科室字典信息，源系统（HIS或人事系统）在新增科室时，由源系统触发将数据传给平台，平台经过处理后分发给已订阅的业务系统</w:t>
            </w: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科室病区信息</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科室信息查询</w:t>
            </w:r>
          </w:p>
        </w:tc>
        <w:tc>
          <w:tcPr>
            <w:tcW w:w="5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处理院内科室字典信息，业务系统（EMR）在查询科室信息时，由业务系统触发将查询条件数据传给平台，平台经过处理后发给数据源系统，数据源系统根据查询条件将结果返回给平台，再由平台返回给业务系统。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科室病区信息</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科室信息更新</w:t>
            </w:r>
          </w:p>
        </w:tc>
        <w:tc>
          <w:tcPr>
            <w:tcW w:w="5917" w:type="dxa"/>
            <w:noWrap w:val="0"/>
            <w:vAlign w:val="center"/>
          </w:tcPr>
          <w:p>
            <w:pPr>
              <w:rPr>
                <w:rFonts w:hint="eastAsia" w:ascii="宋体" w:hAnsi="宋体" w:eastAsia="宋体" w:cs="宋体"/>
                <w:sz w:val="21"/>
                <w:szCs w:val="21"/>
                <w:vertAlign w:val="baseline"/>
              </w:rPr>
            </w:pPr>
            <w:r>
              <w:rPr>
                <w:szCs w:val="18"/>
              </w:rPr>
              <w:t>处理院内科室字典信息，源系统（HIS或人事系统）在新增科室时，由源系统触发将数据传给平台，平台经过处理后分发给已订阅的业务系统</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检验项目字典</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bookmarkStart w:id="3" w:name="_Toc15779"/>
            <w:bookmarkStart w:id="4" w:name="_Toc101431603"/>
            <w:bookmarkStart w:id="5" w:name="_Toc7898"/>
            <w:bookmarkStart w:id="6" w:name="_Toc32226"/>
            <w:bookmarkStart w:id="7" w:name="_Toc20832"/>
            <w:bookmarkStart w:id="8" w:name="_Toc9746"/>
            <w:bookmarkStart w:id="9" w:name="_Toc5568"/>
            <w:bookmarkStart w:id="10" w:name="_Toc19299"/>
            <w:bookmarkStart w:id="11" w:name="_Toc32369"/>
            <w:bookmarkStart w:id="12" w:name="_Toc10125"/>
            <w:bookmarkStart w:id="13" w:name="_Toc23770"/>
            <w:bookmarkStart w:id="14" w:name="_Toc22264"/>
            <w:bookmarkStart w:id="15" w:name="_Toc2810"/>
            <w:bookmarkStart w:id="16" w:name="_Toc6027"/>
            <w:bookmarkStart w:id="17" w:name="_Toc15838"/>
            <w:bookmarkStart w:id="18" w:name="_Toc16819"/>
            <w:r>
              <w:rPr>
                <w:rFonts w:hint="eastAsia"/>
                <w:lang w:val="en-US" w:eastAsia="zh-CN"/>
              </w:rPr>
              <w:t>字</w:t>
            </w:r>
            <w:r>
              <w:rPr>
                <w:rFonts w:hint="eastAsia"/>
              </w:rPr>
              <w:t>典</w:t>
            </w:r>
            <w:r>
              <w:t>数据注册</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c>
        <w:tc>
          <w:tcPr>
            <w:tcW w:w="5917" w:type="dxa"/>
            <w:noWrap w:val="0"/>
            <w:vAlign w:val="center"/>
          </w:tcPr>
          <w:p>
            <w:pPr>
              <w:rPr>
                <w:rFonts w:hint="eastAsia"/>
                <w:szCs w:val="18"/>
              </w:rPr>
            </w:pPr>
            <w:r>
              <w:rPr>
                <w:szCs w:val="18"/>
              </w:rPr>
              <w:t>注册的数据包括值域</w:t>
            </w:r>
            <w:r>
              <w:rPr>
                <w:rFonts w:hint="eastAsia"/>
                <w:szCs w:val="18"/>
              </w:rPr>
              <w:t>【性别、国籍、民族等】</w:t>
            </w:r>
            <w:r>
              <w:rPr>
                <w:szCs w:val="18"/>
              </w:rPr>
              <w:t>、</w:t>
            </w:r>
            <w:r>
              <w:rPr>
                <w:rFonts w:hint="eastAsia"/>
                <w:szCs w:val="18"/>
              </w:rPr>
              <w:t>字典【人员字典、药品字典、收费项目字典等】</w:t>
            </w: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检验项目字典</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字典数据更新</w:t>
            </w:r>
          </w:p>
        </w:tc>
        <w:tc>
          <w:tcPr>
            <w:tcW w:w="5917" w:type="dxa"/>
            <w:noWrap w:val="0"/>
            <w:vAlign w:val="center"/>
          </w:tcPr>
          <w:p>
            <w:pPr>
              <w:rPr>
                <w:rFonts w:hint="eastAsia"/>
                <w:szCs w:val="18"/>
              </w:rPr>
            </w:pPr>
            <w:r>
              <w:rPr>
                <w:rFonts w:hint="eastAsia"/>
                <w:szCs w:val="18"/>
              </w:rPr>
              <w:t>更新的数据包括值域【性别、国籍、民族等】、字典【人员字典、药品字典、收费项目字典等】。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检验标本字典</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字典数据注册</w:t>
            </w:r>
          </w:p>
        </w:tc>
        <w:tc>
          <w:tcPr>
            <w:tcW w:w="5917" w:type="dxa"/>
            <w:noWrap w:val="0"/>
            <w:vAlign w:val="center"/>
          </w:tcPr>
          <w:p>
            <w:pPr>
              <w:rPr>
                <w:rFonts w:hint="eastAsia"/>
                <w:szCs w:val="18"/>
              </w:rPr>
            </w:pPr>
            <w:r>
              <w:rPr>
                <w:rFonts w:hint="eastAsia"/>
                <w:szCs w:val="18"/>
              </w:rPr>
              <w:t>注册的数据包括值域【检验项目名称、检验项目编号、创建人ID、创建人、创建时间等】、字典【检验项目名称、检验项目编号、创建人ID、创建人、创建时间等等】。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检验标本字典</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字典数据更新</w:t>
            </w:r>
          </w:p>
        </w:tc>
        <w:tc>
          <w:tcPr>
            <w:tcW w:w="5917" w:type="dxa"/>
            <w:noWrap w:val="0"/>
            <w:vAlign w:val="center"/>
          </w:tcPr>
          <w:p>
            <w:pPr>
              <w:rPr>
                <w:rFonts w:hint="eastAsia"/>
                <w:szCs w:val="18"/>
              </w:rPr>
            </w:pPr>
            <w:r>
              <w:rPr>
                <w:rFonts w:hint="eastAsia"/>
                <w:szCs w:val="18"/>
              </w:rPr>
              <w:t>更新的数据包括值域【性别、国籍、民族等】、字典【人员字典、药品字典、收费项目字典等】。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39" w:type="dxa"/>
            <w:noWrap w:val="0"/>
            <w:vAlign w:val="center"/>
          </w:tcPr>
          <w:p>
            <w:pPr>
              <w:pStyle w:val="3"/>
              <w:numPr>
                <w:ilvl w:val="0"/>
                <w:numId w:val="0"/>
              </w:numPr>
              <w:tabs>
                <w:tab w:val="left" w:pos="561"/>
              </w:tabs>
              <w:ind w:left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检验申请</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rPr>
              <w:t>数据推送与接收服务</w:t>
            </w:r>
          </w:p>
        </w:tc>
        <w:tc>
          <w:tcPr>
            <w:tcW w:w="5917" w:type="dxa"/>
            <w:noWrap w:val="0"/>
            <w:vAlign w:val="center"/>
          </w:tcPr>
          <w:p>
            <w:pPr>
              <w:autoSpaceDE w:val="0"/>
              <w:autoSpaceDN w:val="0"/>
              <w:adjustRightInd w:val="0"/>
              <w:jc w:val="left"/>
              <w:rPr>
                <w:rFonts w:hint="eastAsia" w:ascii="宋体" w:hAnsi="宋体" w:eastAsia="宋体" w:cs="宋体"/>
                <w:sz w:val="21"/>
                <w:szCs w:val="21"/>
                <w:vertAlign w:val="baseline"/>
              </w:rPr>
            </w:pPr>
            <w:r>
              <w:rPr>
                <w:rFonts w:hint="eastAsia"/>
              </w:rPr>
              <w:t>医嘱同步（药品下达、停止、撤销、检验申请、检查申请、检查申请单状态等）相关信息由EMR触发，调用平台提供的服务，平台经过数据处理后，将消息传递给HIS的提供的服务，HIS根据消息将医嘱内容写入其医嘱表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numPr>
                <w:ilvl w:val="0"/>
                <w:numId w:val="0"/>
              </w:numPr>
              <w:ind w:left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医嘱状态</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rPr>
              <w:t>数据接收与推送服务</w:t>
            </w:r>
          </w:p>
        </w:tc>
        <w:tc>
          <w:tcPr>
            <w:tcW w:w="5917" w:type="dxa"/>
            <w:noWrap w:val="0"/>
            <w:vAlign w:val="center"/>
          </w:tcPr>
          <w:p>
            <w:pPr>
              <w:autoSpaceDE w:val="0"/>
              <w:autoSpaceDN w:val="0"/>
              <w:adjustRightInd w:val="0"/>
              <w:jc w:val="left"/>
              <w:rPr>
                <w:rFonts w:hint="eastAsia" w:ascii="宋体" w:hAnsi="宋体" w:eastAsia="宋体" w:cs="宋体"/>
                <w:sz w:val="21"/>
                <w:szCs w:val="21"/>
                <w:vertAlign w:val="baseline"/>
                <w:lang w:eastAsia="zh-CN"/>
              </w:rPr>
            </w:pPr>
            <w:r>
              <w:rPr>
                <w:rFonts w:hint="eastAsia"/>
              </w:rPr>
              <w:t>医嘱</w:t>
            </w:r>
            <w:r>
              <w:rPr>
                <w:rFonts w:hint="eastAsia"/>
                <w:lang w:eastAsia="zh-Hans"/>
              </w:rPr>
              <w:t>状态</w:t>
            </w:r>
            <w:r>
              <w:rPr>
                <w:rFonts w:hint="eastAsia"/>
              </w:rPr>
              <w:t>同步</w:t>
            </w:r>
            <w:r>
              <w:rPr>
                <w:rFonts w:hint="eastAsia"/>
                <w:lang w:eastAsia="zh-Hans"/>
              </w:rPr>
              <w:t>指当医嘱状态发生变化时由</w:t>
            </w:r>
            <w:r>
              <w:rPr>
                <w:rFonts w:hint="eastAsia"/>
              </w:rPr>
              <w:t>相关信息</w:t>
            </w:r>
            <w:r>
              <w:rPr>
                <w:rFonts w:hint="eastAsia"/>
                <w:lang w:eastAsia="zh-Hans"/>
              </w:rPr>
              <w:t>系统</w:t>
            </w:r>
            <w:r>
              <w:rPr>
                <w:rFonts w:hint="eastAsia"/>
              </w:rPr>
              <w:t>触发，调用平台提供的服务，平台经过数据处理后，将消息传递给</w:t>
            </w:r>
            <w:r>
              <w:rPr>
                <w:rFonts w:hint="eastAsia"/>
                <w:lang w:eastAsia="zh-Hans"/>
              </w:rPr>
              <w:t>订阅方</w:t>
            </w:r>
            <w:r>
              <w:rPr>
                <w:rFonts w:hint="eastAsia"/>
              </w:rPr>
              <w:t>的提供的服务，</w:t>
            </w:r>
            <w:r>
              <w:rPr>
                <w:rFonts w:hint="eastAsia"/>
                <w:lang w:eastAsia="zh-Hans"/>
              </w:rPr>
              <w:t>订阅方</w:t>
            </w:r>
            <w:r>
              <w:rPr>
                <w:rFonts w:hint="eastAsia"/>
              </w:rPr>
              <w:t>根据消息</w:t>
            </w:r>
            <w:r>
              <w:rPr>
                <w:rFonts w:hint="eastAsia"/>
                <w:lang w:eastAsia="zh-Hans"/>
              </w:rPr>
              <w:t>对</w:t>
            </w:r>
            <w:r>
              <w:rPr>
                <w:rFonts w:hint="eastAsia"/>
              </w:rPr>
              <w:t>医嘱</w:t>
            </w:r>
            <w:r>
              <w:rPr>
                <w:rFonts w:hint="eastAsia"/>
                <w:lang w:eastAsia="zh-Hans"/>
              </w:rPr>
              <w:t>状态进行更新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检验</w:t>
            </w:r>
            <w:r>
              <w:rPr>
                <w:rFonts w:hint="eastAsia" w:ascii="宋体" w:hAnsi="宋体" w:cs="宋体"/>
                <w:sz w:val="21"/>
                <w:szCs w:val="21"/>
                <w:vertAlign w:val="baseline"/>
                <w:lang w:val="en-US" w:eastAsia="zh-CN"/>
              </w:rPr>
              <w:t>报告-</w:t>
            </w:r>
            <w:r>
              <w:rPr>
                <w:rFonts w:hint="eastAsia" w:ascii="宋体" w:hAnsi="宋体" w:eastAsia="宋体" w:cs="宋体"/>
                <w:sz w:val="21"/>
                <w:szCs w:val="21"/>
                <w:vertAlign w:val="baseline"/>
              </w:rPr>
              <w:t>数据推送与接收服务</w:t>
            </w:r>
          </w:p>
        </w:tc>
        <w:tc>
          <w:tcPr>
            <w:tcW w:w="5917" w:type="dxa"/>
            <w:noWrap w:val="0"/>
            <w:vAlign w:val="center"/>
          </w:tcPr>
          <w:p>
            <w:pPr>
              <w:rPr>
                <w:rFonts w:hint="eastAsia" w:ascii="宋体" w:hAnsi="宋体" w:eastAsia="宋体" w:cs="宋体"/>
                <w:sz w:val="21"/>
                <w:szCs w:val="21"/>
                <w:vertAlign w:val="baseline"/>
              </w:rPr>
            </w:pPr>
            <w:r>
              <w:rPr>
                <w:szCs w:val="18"/>
              </w:rPr>
              <w:t>病人检验报告审核确认后，由LIS系统触发将报告内容传给平台，再由平台经过处理后将消息分发给已订阅的业务系统。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sz w:val="21"/>
                <w:szCs w:val="21"/>
                <w:vertAlign w:val="baseline"/>
              </w:rPr>
            </w:pPr>
            <w:r>
              <w:rPr>
                <w:rFonts w:hint="eastAsia" w:ascii="宋体" w:hAnsi="宋体" w:eastAsia="宋体" w:cs="宋体"/>
                <w:b w:val="0"/>
                <w:bCs w:val="0"/>
                <w:kern w:val="2"/>
                <w:sz w:val="21"/>
                <w:szCs w:val="21"/>
                <w:vertAlign w:val="baseline"/>
                <w:lang w:val="en-US" w:eastAsia="zh-CN" w:bidi="ar-SA"/>
              </w:rPr>
              <w:t>业务数据接口</w:t>
            </w:r>
            <w:r>
              <w:rPr>
                <w:rFonts w:hint="eastAsia" w:ascii="宋体" w:hAnsi="宋体" w:cs="宋体"/>
                <w:b w:val="0"/>
                <w:bCs w:val="0"/>
                <w:kern w:val="2"/>
                <w:sz w:val="21"/>
                <w:szCs w:val="21"/>
                <w:vertAlign w:val="baseline"/>
                <w:lang w:val="en-US" w:eastAsia="zh-CN" w:bidi="ar-SA"/>
              </w:rPr>
              <w:t>-</w:t>
            </w:r>
            <w:r>
              <w:rPr>
                <w:rFonts w:hint="eastAsia" w:ascii="宋体" w:hAnsi="宋体" w:eastAsia="宋体" w:cs="宋体"/>
                <w:sz w:val="21"/>
                <w:szCs w:val="21"/>
                <w:vertAlign w:val="baseline"/>
              </w:rPr>
              <w:t>检验</w:t>
            </w:r>
            <w:r>
              <w:rPr>
                <w:rFonts w:hint="eastAsia" w:ascii="宋体" w:hAnsi="宋体" w:cs="宋体"/>
                <w:sz w:val="21"/>
                <w:szCs w:val="21"/>
                <w:vertAlign w:val="baseline"/>
                <w:lang w:val="en-US" w:eastAsia="zh-CN"/>
              </w:rPr>
              <w:t>报告-数据查询服务</w:t>
            </w:r>
          </w:p>
        </w:tc>
        <w:tc>
          <w:tcPr>
            <w:tcW w:w="5917" w:type="dxa"/>
            <w:noWrap w:val="0"/>
            <w:vAlign w:val="center"/>
          </w:tcPr>
          <w:p>
            <w:pPr>
              <w:rPr>
                <w:rFonts w:hint="eastAsia"/>
                <w:szCs w:val="18"/>
              </w:rPr>
            </w:pPr>
            <w:r>
              <w:rPr>
                <w:szCs w:val="18"/>
              </w:rPr>
              <w:t>处理请求系统向数据源系统主动请求查询病人检验报告信息数据功能，在业务系统需要检验报告时，由业务系统触发将病人唯一号等数据传给平台，平台经过处理后分发给数据源系统，数据源系统根据唯一号等返回病人检验报告信息给平台，再由平台将数据返回给请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sz w:val="21"/>
                <w:szCs w:val="21"/>
                <w:vertAlign w:val="baseline"/>
                <w:lang w:val="en-US"/>
              </w:rPr>
            </w:pPr>
            <w:r>
              <w:rPr>
                <w:rFonts w:hint="eastAsia" w:ascii="宋体" w:hAnsi="宋体" w:cs="宋体"/>
                <w:sz w:val="21"/>
                <w:szCs w:val="21"/>
                <w:vertAlign w:val="baseline"/>
                <w:lang w:val="en-US" w:eastAsia="zh-CN"/>
              </w:rPr>
              <w:t>危急值处理-数据推送与接收</w:t>
            </w:r>
          </w:p>
        </w:tc>
        <w:tc>
          <w:tcPr>
            <w:tcW w:w="5917" w:type="dxa"/>
            <w:noWrap w:val="0"/>
            <w:vAlign w:val="center"/>
          </w:tcPr>
          <w:p>
            <w:pPr>
              <w:rPr>
                <w:rFonts w:hint="eastAsia"/>
                <w:szCs w:val="18"/>
              </w:rPr>
            </w:pPr>
            <w:r>
              <w:rPr>
                <w:rFonts w:hint="eastAsia"/>
                <w:szCs w:val="18"/>
              </w:rPr>
              <w:t>服务发送方将数据信息发送给集成平台，平台将信息发送给服务提供方，服务提供方将信息接收结果返回给平台，平台将结果返回给服务发送方。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cs="宋体"/>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pStyle w:val="2"/>
              <w:numPr>
                <w:ilvl w:val="0"/>
                <w:numId w:val="0"/>
              </w:numPr>
              <w:tabs>
                <w:tab w:val="left" w:pos="1080"/>
                <w:tab w:val="clear" w:pos="1077"/>
                <w:tab w:val="clear" w:pos="2070"/>
                <w:tab w:val="clear" w:pos="9723"/>
              </w:tabs>
              <w:ind w:leftChars="0"/>
              <w:rPr>
                <w:rFonts w:hint="eastAsia" w:ascii="宋体" w:hAnsi="宋体" w:cs="宋体"/>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单点登录</w:t>
            </w:r>
            <w:r>
              <w:rPr>
                <w:rFonts w:hint="eastAsia" w:ascii="宋体" w:hAnsi="宋体" w:cs="宋体"/>
                <w:b w:val="0"/>
                <w:bCs w:val="0"/>
                <w:kern w:val="2"/>
                <w:sz w:val="21"/>
                <w:szCs w:val="21"/>
                <w:vertAlign w:val="baseline"/>
                <w:lang w:val="en-US" w:eastAsia="zh-CN" w:bidi="ar-SA"/>
              </w:rPr>
              <w:t>-</w:t>
            </w:r>
            <w:r>
              <w:rPr>
                <w:rFonts w:hint="eastAsia" w:ascii="宋体" w:hAnsi="宋体" w:eastAsia="宋体" w:cs="宋体"/>
                <w:b w:val="0"/>
                <w:bCs w:val="0"/>
                <w:kern w:val="2"/>
                <w:sz w:val="21"/>
                <w:szCs w:val="21"/>
                <w:vertAlign w:val="baseline"/>
                <w:lang w:val="en-US" w:eastAsia="zh-CN" w:bidi="ar-SA"/>
              </w:rPr>
              <w:t>票据接收</w:t>
            </w:r>
          </w:p>
        </w:tc>
        <w:tc>
          <w:tcPr>
            <w:tcW w:w="5917" w:type="dxa"/>
            <w:noWrap w:val="0"/>
            <w:vAlign w:val="center"/>
          </w:tcPr>
          <w:p>
            <w:pPr>
              <w:rPr>
                <w:rFonts w:hint="eastAsia"/>
                <w:szCs w:val="18"/>
              </w:rPr>
            </w:pPr>
            <w:r>
              <w:rPr>
                <w:rFonts w:hint="eastAsia"/>
                <w:szCs w:val="18"/>
              </w:rPr>
              <w:t>第三方系统（HIS PACS OA 等）提供 URL、exe 信息给单点登录系统，用户通过单点登录系统点击第三方应用系统时，单点登录系统将 ST 票据信息通过URL或者EXE格式传给第三方系统；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1"/>
                <w:szCs w:val="21"/>
                <w:vertAlign w:val="baseline"/>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pStyle w:val="2"/>
              <w:numPr>
                <w:ilvl w:val="0"/>
                <w:numId w:val="0"/>
              </w:numPr>
              <w:tabs>
                <w:tab w:val="left" w:pos="1080"/>
                <w:tab w:val="clear" w:pos="1077"/>
                <w:tab w:val="clear" w:pos="2070"/>
                <w:tab w:val="clear" w:pos="9723"/>
              </w:tabs>
              <w:ind w:leftChars="0"/>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单点登录</w:t>
            </w:r>
            <w:r>
              <w:rPr>
                <w:rFonts w:hint="eastAsia" w:ascii="宋体" w:hAnsi="宋体" w:cs="宋体"/>
                <w:b w:val="0"/>
                <w:bCs w:val="0"/>
                <w:kern w:val="2"/>
                <w:sz w:val="21"/>
                <w:szCs w:val="21"/>
                <w:vertAlign w:val="baseline"/>
                <w:lang w:val="en-US" w:eastAsia="zh-CN" w:bidi="ar-SA"/>
              </w:rPr>
              <w:t>-</w:t>
            </w:r>
            <w:r>
              <w:rPr>
                <w:rFonts w:hint="eastAsia" w:ascii="宋体" w:hAnsi="宋体" w:eastAsia="宋体" w:cs="宋体"/>
                <w:b w:val="0"/>
                <w:bCs w:val="0"/>
                <w:kern w:val="2"/>
                <w:sz w:val="21"/>
                <w:szCs w:val="21"/>
                <w:vertAlign w:val="baseline"/>
                <w:lang w:val="en-US" w:eastAsia="zh-CN" w:bidi="ar-SA"/>
              </w:rPr>
              <w:t>票据验证</w:t>
            </w:r>
          </w:p>
        </w:tc>
        <w:tc>
          <w:tcPr>
            <w:tcW w:w="5917" w:type="dxa"/>
            <w:noWrap w:val="0"/>
            <w:vAlign w:val="center"/>
          </w:tcPr>
          <w:p>
            <w:pPr>
              <w:spacing w:line="240" w:lineRule="auto"/>
              <w:rPr>
                <w:rFonts w:hint="eastAsia"/>
                <w:szCs w:val="18"/>
              </w:rPr>
            </w:pPr>
            <w:r>
              <w:rPr>
                <w:rFonts w:hint="eastAsia"/>
                <w:szCs w:val="18"/>
              </w:rPr>
              <w:t>第三方系统提供 URL、exe 信息给单点登录系统，用户通过单点登录系统点击第三方应用系统时，单点登录系统将 ST 票据信息传给第三方系统，第三方系统获取到票据信息后，调用票据校验服务接口获取用户信息（票据验证），验证通过后进入第三方系统，失败则停止登录，并返回失败原因。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639" w:type="dxa"/>
            <w:noWrap w:val="0"/>
            <w:vAlign w:val="center"/>
          </w:tcPr>
          <w:p>
            <w:pPr>
              <w:numPr>
                <w:ilvl w:val="1"/>
                <w:numId w:val="0"/>
              </w:numPr>
              <w:ind w:left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pStyle w:val="4"/>
              <w:numPr>
                <w:ilvl w:val="0"/>
                <w:numId w:val="0"/>
              </w:num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集成患者360</w:t>
            </w:r>
            <w:r>
              <w:rPr>
                <w:rFonts w:hint="eastAsia" w:ascii="宋体" w:hAnsi="宋体" w:cs="宋体"/>
                <w:b w:val="0"/>
                <w:bCs w:val="0"/>
                <w:kern w:val="2"/>
                <w:sz w:val="21"/>
                <w:szCs w:val="21"/>
                <w:vertAlign w:val="baseline"/>
                <w:lang w:val="en-US" w:eastAsia="zh-CN" w:bidi="ar-SA"/>
              </w:rPr>
              <w:t>-</w:t>
            </w:r>
            <w:r>
              <w:rPr>
                <w:rFonts w:hint="eastAsia" w:ascii="宋体" w:hAnsi="宋体" w:eastAsia="宋体" w:cs="宋体"/>
                <w:b w:val="0"/>
                <w:bCs w:val="0"/>
                <w:kern w:val="2"/>
                <w:sz w:val="21"/>
                <w:szCs w:val="21"/>
                <w:vertAlign w:val="baseline"/>
                <w:lang w:val="en-US" w:eastAsia="zh-CN" w:bidi="ar-SA"/>
              </w:rPr>
              <w:t>票据接收</w:t>
            </w:r>
          </w:p>
        </w:tc>
        <w:tc>
          <w:tcPr>
            <w:tcW w:w="5917" w:type="dxa"/>
            <w:noWrap w:val="0"/>
            <w:vAlign w:val="center"/>
          </w:tcPr>
          <w:p>
            <w:pPr>
              <w:spacing w:line="240" w:lineRule="auto"/>
              <w:rPr>
                <w:rFonts w:hint="eastAsia"/>
                <w:szCs w:val="18"/>
              </w:rPr>
            </w:pPr>
            <w:r>
              <w:rPr>
                <w:rFonts w:hint="eastAsia"/>
                <w:szCs w:val="18"/>
              </w:rPr>
              <w:t>通过以url方式调用患者360功能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noWrap w:val="0"/>
            <w:vAlign w:val="center"/>
          </w:tcPr>
          <w:p>
            <w:pPr>
              <w:numPr>
                <w:ilvl w:val="1"/>
                <w:numId w:val="0"/>
              </w:numPr>
              <w:ind w:left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pStyle w:val="2"/>
              <w:numPr>
                <w:ilvl w:val="1"/>
                <w:numId w:val="0"/>
              </w:numPr>
              <w:tabs>
                <w:tab w:val="left" w:pos="1080"/>
                <w:tab w:val="clear" w:pos="1077"/>
                <w:tab w:val="clear" w:pos="2070"/>
                <w:tab w:val="clear" w:pos="9723"/>
              </w:tabs>
              <w:ind w:left="0" w:leftChars="0" w:firstLine="0" w:firstLineChars="0"/>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检验申请(登记)记录</w:t>
            </w:r>
          </w:p>
        </w:tc>
        <w:tc>
          <w:tcPr>
            <w:tcW w:w="5917" w:type="dxa"/>
            <w:noWrap w:val="0"/>
            <w:vAlign w:val="center"/>
          </w:tcPr>
          <w:p>
            <w:pPr>
              <w:rPr>
                <w:rFonts w:hint="eastAsia"/>
                <w:szCs w:val="18"/>
              </w:rPr>
            </w:pPr>
            <w:r>
              <w:rPr>
                <w:rFonts w:hint="eastAsia"/>
                <w:szCs w:val="18"/>
                <w:lang w:val="en-US" w:eastAsia="zh-CN"/>
              </w:rPr>
              <w:t>提供</w:t>
            </w:r>
            <w:r>
              <w:rPr>
                <w:rFonts w:hint="eastAsia" w:ascii="宋体" w:hAnsi="宋体" w:eastAsia="宋体" w:cs="宋体"/>
                <w:b w:val="0"/>
                <w:bCs w:val="0"/>
                <w:kern w:val="2"/>
                <w:sz w:val="21"/>
                <w:szCs w:val="21"/>
                <w:vertAlign w:val="baseline"/>
                <w:lang w:val="en-US" w:eastAsia="zh-CN" w:bidi="ar-SA"/>
              </w:rPr>
              <w:t>检验申请(登记)记录</w:t>
            </w:r>
            <w:r>
              <w:rPr>
                <w:rFonts w:hint="eastAsia" w:ascii="宋体" w:hAnsi="宋体" w:cs="宋体"/>
                <w:b w:val="0"/>
                <w:bCs w:val="0"/>
                <w:kern w:val="2"/>
                <w:sz w:val="21"/>
                <w:szCs w:val="21"/>
                <w:vertAlign w:val="baseline"/>
                <w:lang w:val="en-US" w:eastAsia="zh-CN" w:bidi="ar-SA"/>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noWrap w:val="0"/>
            <w:vAlign w:val="center"/>
          </w:tcPr>
          <w:p>
            <w:pPr>
              <w:numPr>
                <w:ilvl w:val="1"/>
                <w:numId w:val="0"/>
              </w:numPr>
              <w:ind w:leftChars="0"/>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pStyle w:val="2"/>
              <w:numPr>
                <w:ilvl w:val="1"/>
                <w:numId w:val="0"/>
              </w:numPr>
              <w:tabs>
                <w:tab w:val="left" w:pos="1080"/>
                <w:tab w:val="clear" w:pos="1077"/>
                <w:tab w:val="clear" w:pos="2070"/>
                <w:tab w:val="clear" w:pos="9723"/>
              </w:tabs>
              <w:ind w:left="0" w:leftChars="0" w:firstLine="0" w:firstLineChars="0"/>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标本记录</w:t>
            </w:r>
          </w:p>
        </w:tc>
        <w:tc>
          <w:tcPr>
            <w:tcW w:w="5917" w:type="dxa"/>
            <w:noWrap w:val="0"/>
            <w:vAlign w:val="center"/>
          </w:tcPr>
          <w:p>
            <w:pPr>
              <w:rPr>
                <w:rFonts w:hint="default" w:eastAsia="宋体"/>
                <w:szCs w:val="18"/>
                <w:lang w:val="en-US" w:eastAsia="zh-CN"/>
              </w:rPr>
            </w:pPr>
            <w:r>
              <w:rPr>
                <w:rFonts w:hint="eastAsia"/>
                <w:szCs w:val="18"/>
                <w:lang w:val="en-US" w:eastAsia="zh-CN"/>
              </w:rPr>
              <w:t>提供</w:t>
            </w:r>
            <w:r>
              <w:rPr>
                <w:rFonts w:hint="eastAsia" w:ascii="宋体" w:hAnsi="宋体" w:eastAsia="宋体" w:cs="宋体"/>
                <w:b w:val="0"/>
                <w:bCs w:val="0"/>
                <w:kern w:val="2"/>
                <w:sz w:val="21"/>
                <w:szCs w:val="21"/>
                <w:vertAlign w:val="baseline"/>
                <w:lang w:val="en-US" w:eastAsia="zh-CN" w:bidi="ar-SA"/>
              </w:rPr>
              <w:t>标本记录</w:t>
            </w:r>
            <w:r>
              <w:rPr>
                <w:rFonts w:hint="eastAsia"/>
                <w:szCs w:val="18"/>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noWrap w:val="0"/>
            <w:vAlign w:val="center"/>
          </w:tcPr>
          <w:p>
            <w:pPr>
              <w:numPr>
                <w:ilvl w:val="1"/>
                <w:numId w:val="0"/>
              </w:numPr>
              <w:ind w:left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pStyle w:val="2"/>
              <w:numPr>
                <w:ilvl w:val="1"/>
                <w:numId w:val="0"/>
              </w:numPr>
              <w:tabs>
                <w:tab w:val="left" w:pos="1080"/>
                <w:tab w:val="clear" w:pos="1077"/>
                <w:tab w:val="clear" w:pos="2070"/>
                <w:tab w:val="clear" w:pos="9723"/>
              </w:tabs>
              <w:ind w:left="0" w:leftChars="0" w:firstLine="0" w:firstLineChars="0"/>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检验报告主记录</w:t>
            </w:r>
          </w:p>
        </w:tc>
        <w:tc>
          <w:tcPr>
            <w:tcW w:w="5917" w:type="dxa"/>
            <w:noWrap w:val="0"/>
            <w:vAlign w:val="center"/>
          </w:tcPr>
          <w:p>
            <w:pPr>
              <w:rPr>
                <w:rFonts w:hint="default" w:eastAsia="宋体"/>
                <w:szCs w:val="18"/>
                <w:lang w:val="en-US" w:eastAsia="zh-CN"/>
              </w:rPr>
            </w:pPr>
            <w:r>
              <w:rPr>
                <w:rFonts w:hint="eastAsia"/>
                <w:szCs w:val="18"/>
                <w:lang w:val="en-US" w:eastAsia="zh-CN"/>
              </w:rPr>
              <w:t>提供</w:t>
            </w:r>
            <w:r>
              <w:rPr>
                <w:rFonts w:hint="eastAsia" w:ascii="宋体" w:hAnsi="宋体" w:eastAsia="宋体" w:cs="宋体"/>
                <w:b w:val="0"/>
                <w:bCs w:val="0"/>
                <w:kern w:val="2"/>
                <w:sz w:val="21"/>
                <w:szCs w:val="21"/>
                <w:vertAlign w:val="baseline"/>
                <w:lang w:val="en-US" w:eastAsia="zh-CN" w:bidi="ar-SA"/>
              </w:rPr>
              <w:t>检验报告主记录</w:t>
            </w:r>
            <w:r>
              <w:rPr>
                <w:rFonts w:hint="eastAsia"/>
                <w:szCs w:val="18"/>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noWrap w:val="0"/>
            <w:vAlign w:val="center"/>
          </w:tcPr>
          <w:p>
            <w:pPr>
              <w:numPr>
                <w:ilvl w:val="1"/>
                <w:numId w:val="0"/>
              </w:numPr>
              <w:ind w:leftChars="0"/>
              <w:jc w:val="center"/>
              <w:rPr>
                <w:rFonts w:hint="eastAsia" w:ascii="宋体" w:hAnsi="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pStyle w:val="2"/>
              <w:numPr>
                <w:ilvl w:val="1"/>
                <w:numId w:val="0"/>
              </w:numPr>
              <w:tabs>
                <w:tab w:val="left" w:pos="1080"/>
                <w:tab w:val="clear" w:pos="1077"/>
                <w:tab w:val="clear" w:pos="2070"/>
                <w:tab w:val="clear" w:pos="9723"/>
              </w:tabs>
              <w:ind w:left="0" w:leftChars="0" w:firstLine="0" w:firstLineChars="0"/>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检验报告(结果)明细记录</w:t>
            </w:r>
          </w:p>
        </w:tc>
        <w:tc>
          <w:tcPr>
            <w:tcW w:w="5917" w:type="dxa"/>
            <w:noWrap w:val="0"/>
            <w:vAlign w:val="center"/>
          </w:tcPr>
          <w:p>
            <w:pPr>
              <w:rPr>
                <w:rFonts w:hint="default" w:eastAsia="宋体"/>
                <w:szCs w:val="18"/>
                <w:lang w:val="en-US" w:eastAsia="zh-CN"/>
              </w:rPr>
            </w:pPr>
            <w:r>
              <w:rPr>
                <w:rFonts w:hint="eastAsia"/>
                <w:szCs w:val="18"/>
                <w:lang w:val="en-US" w:eastAsia="zh-CN"/>
              </w:rPr>
              <w:t>提供</w:t>
            </w:r>
            <w:r>
              <w:rPr>
                <w:rFonts w:hint="eastAsia" w:ascii="宋体" w:hAnsi="宋体" w:eastAsia="宋体" w:cs="宋体"/>
                <w:b w:val="0"/>
                <w:bCs w:val="0"/>
                <w:kern w:val="2"/>
                <w:sz w:val="21"/>
                <w:szCs w:val="21"/>
                <w:vertAlign w:val="baseline"/>
                <w:lang w:val="en-US" w:eastAsia="zh-CN" w:bidi="ar-SA"/>
              </w:rPr>
              <w:t>检验报告(结果)明细记录</w:t>
            </w:r>
            <w:r>
              <w:rPr>
                <w:rFonts w:hint="eastAsia"/>
                <w:szCs w:val="18"/>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noWrap w:val="0"/>
            <w:vAlign w:val="center"/>
          </w:tcPr>
          <w:p>
            <w:pPr>
              <w:numPr>
                <w:ilvl w:val="1"/>
                <w:numId w:val="0"/>
              </w:numPr>
              <w:ind w:leftChars="0"/>
              <w:jc w:val="center"/>
              <w:rPr>
                <w:rFonts w:hint="eastAsia" w:ascii="宋体" w:hAnsi="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pStyle w:val="2"/>
              <w:numPr>
                <w:ilvl w:val="1"/>
                <w:numId w:val="0"/>
              </w:numPr>
              <w:tabs>
                <w:tab w:val="left" w:pos="1080"/>
                <w:tab w:val="clear" w:pos="1077"/>
                <w:tab w:val="clear" w:pos="2070"/>
                <w:tab w:val="clear" w:pos="9723"/>
              </w:tabs>
              <w:ind w:left="0" w:leftChars="0" w:firstLine="0" w:firstLineChars="0"/>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检验危急值记录</w:t>
            </w:r>
          </w:p>
        </w:tc>
        <w:tc>
          <w:tcPr>
            <w:tcW w:w="5917" w:type="dxa"/>
            <w:noWrap w:val="0"/>
            <w:vAlign w:val="center"/>
          </w:tcPr>
          <w:p>
            <w:pPr>
              <w:rPr>
                <w:rFonts w:hint="eastAsia"/>
                <w:szCs w:val="18"/>
              </w:rPr>
            </w:pPr>
            <w:r>
              <w:rPr>
                <w:rFonts w:hint="eastAsia"/>
                <w:szCs w:val="18"/>
                <w:lang w:val="en-US" w:eastAsia="zh-CN"/>
              </w:rPr>
              <w:t>提供</w:t>
            </w:r>
            <w:r>
              <w:rPr>
                <w:rFonts w:hint="eastAsia" w:ascii="宋体" w:hAnsi="宋体" w:eastAsia="宋体" w:cs="宋体"/>
                <w:b w:val="0"/>
                <w:bCs w:val="0"/>
                <w:kern w:val="2"/>
                <w:sz w:val="21"/>
                <w:szCs w:val="21"/>
                <w:vertAlign w:val="baseline"/>
                <w:lang w:val="en-US" w:eastAsia="zh-CN" w:bidi="ar-SA"/>
              </w:rPr>
              <w:t>检验危急值记录</w:t>
            </w:r>
            <w:r>
              <w:rPr>
                <w:rFonts w:hint="eastAsia"/>
                <w:szCs w:val="18"/>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noWrap w:val="0"/>
            <w:vAlign w:val="center"/>
          </w:tcPr>
          <w:p>
            <w:pPr>
              <w:numPr>
                <w:ilvl w:val="1"/>
                <w:numId w:val="0"/>
              </w:numPr>
              <w:ind w:leftChars="0"/>
              <w:jc w:val="center"/>
              <w:rPr>
                <w:rFonts w:hint="eastAsia" w:ascii="宋体" w:hAnsi="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pStyle w:val="2"/>
              <w:numPr>
                <w:ilvl w:val="1"/>
                <w:numId w:val="0"/>
              </w:numPr>
              <w:tabs>
                <w:tab w:val="left" w:pos="1080"/>
                <w:tab w:val="clear" w:pos="1077"/>
                <w:tab w:val="clear" w:pos="2070"/>
                <w:tab w:val="clear" w:pos="9723"/>
              </w:tabs>
              <w:ind w:left="0" w:leftChars="0" w:firstLine="0" w:firstLineChars="0"/>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检验流程记录</w:t>
            </w:r>
          </w:p>
        </w:tc>
        <w:tc>
          <w:tcPr>
            <w:tcW w:w="5917" w:type="dxa"/>
            <w:noWrap w:val="0"/>
            <w:vAlign w:val="center"/>
          </w:tcPr>
          <w:p>
            <w:pPr>
              <w:rPr>
                <w:rFonts w:hint="eastAsia"/>
                <w:szCs w:val="18"/>
              </w:rPr>
            </w:pPr>
            <w:r>
              <w:rPr>
                <w:rFonts w:hint="eastAsia"/>
                <w:szCs w:val="18"/>
                <w:lang w:val="en-US" w:eastAsia="zh-CN"/>
              </w:rPr>
              <w:t>提供</w:t>
            </w:r>
            <w:r>
              <w:rPr>
                <w:rFonts w:hint="eastAsia" w:ascii="宋体" w:hAnsi="宋体" w:eastAsia="宋体" w:cs="宋体"/>
                <w:b w:val="0"/>
                <w:bCs w:val="0"/>
                <w:kern w:val="2"/>
                <w:sz w:val="21"/>
                <w:szCs w:val="21"/>
                <w:vertAlign w:val="baseline"/>
                <w:lang w:val="en-US" w:eastAsia="zh-CN" w:bidi="ar-SA"/>
              </w:rPr>
              <w:t>检验流程记录</w:t>
            </w:r>
            <w:r>
              <w:rPr>
                <w:rFonts w:hint="eastAsia"/>
                <w:szCs w:val="18"/>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noWrap w:val="0"/>
            <w:vAlign w:val="center"/>
          </w:tcPr>
          <w:p>
            <w:pPr>
              <w:numPr>
                <w:ilvl w:val="1"/>
                <w:numId w:val="0"/>
              </w:numPr>
              <w:ind w:leftChars="0"/>
              <w:jc w:val="center"/>
              <w:rPr>
                <w:rFonts w:hint="eastAsia" w:ascii="宋体" w:hAnsi="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pStyle w:val="2"/>
              <w:numPr>
                <w:ilvl w:val="1"/>
                <w:numId w:val="0"/>
              </w:numPr>
              <w:tabs>
                <w:tab w:val="left" w:pos="1080"/>
                <w:tab w:val="clear" w:pos="1077"/>
                <w:tab w:val="clear" w:pos="2070"/>
                <w:tab w:val="clear" w:pos="9723"/>
              </w:tabs>
              <w:ind w:left="0" w:leftChars="0" w:firstLine="0" w:firstLineChars="0"/>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微生物信息</w:t>
            </w:r>
          </w:p>
        </w:tc>
        <w:tc>
          <w:tcPr>
            <w:tcW w:w="5917" w:type="dxa"/>
            <w:noWrap w:val="0"/>
            <w:vAlign w:val="center"/>
          </w:tcPr>
          <w:p>
            <w:pPr>
              <w:rPr>
                <w:rFonts w:hint="eastAsia"/>
                <w:szCs w:val="18"/>
              </w:rPr>
            </w:pPr>
            <w:r>
              <w:rPr>
                <w:rFonts w:hint="eastAsia"/>
                <w:szCs w:val="18"/>
                <w:lang w:val="en-US" w:eastAsia="zh-CN"/>
              </w:rPr>
              <w:t>提供</w:t>
            </w:r>
            <w:r>
              <w:rPr>
                <w:rFonts w:hint="eastAsia" w:ascii="宋体" w:hAnsi="宋体" w:eastAsia="宋体" w:cs="宋体"/>
                <w:b w:val="0"/>
                <w:bCs w:val="0"/>
                <w:kern w:val="2"/>
                <w:sz w:val="21"/>
                <w:szCs w:val="21"/>
                <w:vertAlign w:val="baseline"/>
                <w:lang w:val="en-US" w:eastAsia="zh-CN" w:bidi="ar-SA"/>
              </w:rPr>
              <w:t>微生物信息</w:t>
            </w:r>
            <w:r>
              <w:rPr>
                <w:rFonts w:hint="eastAsia"/>
                <w:szCs w:val="18"/>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noWrap w:val="0"/>
            <w:vAlign w:val="center"/>
          </w:tcPr>
          <w:p>
            <w:pPr>
              <w:numPr>
                <w:ilvl w:val="1"/>
                <w:numId w:val="0"/>
              </w:numPr>
              <w:ind w:leftChars="0"/>
              <w:jc w:val="center"/>
              <w:rPr>
                <w:rFonts w:hint="eastAsia" w:ascii="宋体" w:hAnsi="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平台</w:t>
            </w:r>
          </w:p>
        </w:tc>
        <w:tc>
          <w:tcPr>
            <w:tcW w:w="2749" w:type="dxa"/>
            <w:noWrap w:val="0"/>
            <w:vAlign w:val="center"/>
          </w:tcPr>
          <w:p>
            <w:pPr>
              <w:pStyle w:val="2"/>
              <w:numPr>
                <w:ilvl w:val="1"/>
                <w:numId w:val="0"/>
              </w:numPr>
              <w:tabs>
                <w:tab w:val="left" w:pos="1080"/>
                <w:tab w:val="clear" w:pos="1077"/>
                <w:tab w:val="clear" w:pos="2070"/>
                <w:tab w:val="clear" w:pos="9723"/>
              </w:tabs>
              <w:ind w:left="0" w:leftChars="0" w:firstLine="0" w:firstLineChars="0"/>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供药敏试验的抗生素</w:t>
            </w:r>
          </w:p>
        </w:tc>
        <w:tc>
          <w:tcPr>
            <w:tcW w:w="5917" w:type="dxa"/>
            <w:noWrap w:val="0"/>
            <w:vAlign w:val="center"/>
          </w:tcPr>
          <w:p>
            <w:pPr>
              <w:rPr>
                <w:rFonts w:hint="eastAsia"/>
                <w:szCs w:val="18"/>
              </w:rPr>
            </w:pPr>
            <w:r>
              <w:rPr>
                <w:rFonts w:hint="eastAsia"/>
                <w:szCs w:val="18"/>
                <w:lang w:val="en-US" w:eastAsia="zh-CN"/>
              </w:rPr>
              <w:t>提供</w:t>
            </w:r>
            <w:r>
              <w:rPr>
                <w:rFonts w:hint="eastAsia" w:ascii="宋体" w:hAnsi="宋体" w:eastAsia="宋体" w:cs="宋体"/>
                <w:b w:val="0"/>
                <w:bCs w:val="0"/>
                <w:kern w:val="2"/>
                <w:sz w:val="21"/>
                <w:szCs w:val="21"/>
                <w:vertAlign w:val="baseline"/>
                <w:lang w:val="en-US" w:eastAsia="zh-CN" w:bidi="ar-SA"/>
              </w:rPr>
              <w:t>供药敏试验的抗生素</w:t>
            </w:r>
            <w:r>
              <w:rPr>
                <w:rFonts w:hint="eastAsia"/>
                <w:szCs w:val="18"/>
                <w:lang w:val="en-US" w:eastAsia="zh-CN"/>
              </w:rPr>
              <w:t>数据</w:t>
            </w:r>
          </w:p>
        </w:tc>
      </w:tr>
    </w:tbl>
    <w:p>
      <w:pPr>
        <w:ind w:firstLine="241" w:firstLineChars="100"/>
        <w:rPr>
          <w:rFonts w:hint="default" w:eastAsia="宋体"/>
          <w:sz w:val="24"/>
          <w:szCs w:val="24"/>
          <w:lang w:val="en-US" w:eastAsia="zh-CN"/>
        </w:rPr>
      </w:pPr>
      <w:r>
        <w:rPr>
          <w:rFonts w:hint="eastAsia" w:ascii="宋体" w:hAnsi="宋体" w:eastAsia="宋体" w:cs="Times New Roman"/>
          <w:b/>
          <w:bCs/>
          <w:kern w:val="2"/>
          <w:sz w:val="24"/>
          <w:szCs w:val="24"/>
          <w:lang w:val="en-US" w:eastAsia="zh-CN" w:bidi="ar-SA"/>
        </w:rPr>
        <w:t>3. 售后服务</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highlight w:val="none"/>
        </w:rPr>
      </w:pPr>
      <w:r>
        <w:rPr>
          <w:rFonts w:hint="eastAsia"/>
          <w:lang w:val="en-US" w:eastAsia="zh-CN"/>
        </w:rPr>
        <w:t xml:space="preserve">  </w:t>
      </w:r>
      <w:r>
        <w:rPr>
          <w:rFonts w:hint="eastAsia" w:ascii="宋体" w:hAnsi="宋体" w:eastAsia="宋体" w:cs="宋体"/>
          <w:color w:val="auto"/>
          <w:sz w:val="24"/>
          <w:highlight w:val="none"/>
          <w:lang w:val="en-US" w:eastAsia="zh-CN"/>
        </w:rPr>
        <w:t xml:space="preserve"> 1、实施</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过程中</w:t>
      </w:r>
      <w:r>
        <w:rPr>
          <w:rFonts w:hint="eastAsia" w:ascii="宋体" w:hAnsi="宋体" w:eastAsia="宋体" w:cs="宋体"/>
          <w:color w:val="auto"/>
          <w:sz w:val="24"/>
          <w:highlight w:val="none"/>
        </w:rPr>
        <w:t>，针对项目安排一名开发人员专职开发项目接口改造工作，提供一名现场实施人员现场保障项目进度，保障接口改造顺利完成。</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eastAsia="宋体"/>
          <w:lang w:val="en-US" w:eastAsia="zh-CN"/>
        </w:rPr>
      </w:pPr>
      <w:r>
        <w:rPr>
          <w:rFonts w:hint="eastAsia" w:ascii="宋体" w:hAnsi="宋体" w:eastAsia="宋体" w:cs="宋体"/>
          <w:color w:val="auto"/>
          <w:sz w:val="24"/>
          <w:highlight w:val="none"/>
          <w:lang w:val="en-US" w:eastAsia="zh-CN"/>
        </w:rPr>
        <w:t xml:space="preserve">   2、提供</w:t>
      </w:r>
      <w:r>
        <w:rPr>
          <w:rFonts w:hint="eastAsia" w:ascii="宋体" w:hAnsi="宋体" w:eastAsia="宋体" w:cs="宋体"/>
          <w:color w:val="auto"/>
          <w:sz w:val="24"/>
          <w:highlight w:val="none"/>
        </w:rPr>
        <w:t>一支专业的系统维护队伍为该系统提供长期有效、稳定、可靠的本地化服务</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针对此次改造，免费提供</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年维保。</w:t>
      </w:r>
    </w:p>
    <w:p>
      <w:pPr>
        <w:pStyle w:val="2"/>
        <w:numPr>
          <w:ilvl w:val="0"/>
          <w:numId w:val="0"/>
        </w:numPr>
        <w:rPr>
          <w:rFonts w:hint="eastAsia"/>
          <w:sz w:val="24"/>
          <w:szCs w:val="24"/>
          <w:lang w:val="en-US" w:eastAsia="zh-CN"/>
        </w:rPr>
      </w:pPr>
    </w:p>
    <w:p/>
    <w:p>
      <w:pPr>
        <w:spacing w:line="360" w:lineRule="auto"/>
        <w:ind w:firstLine="480"/>
        <w:rPr>
          <w:rFonts w:hint="eastAsia"/>
          <w:sz w:val="24"/>
          <w:szCs w:val="24"/>
          <w:lang w:val="en-US" w:eastAsia="zh-CN"/>
        </w:rPr>
      </w:pPr>
    </w:p>
    <w:p>
      <w:bookmarkStart w:id="19" w:name="_GoBack"/>
      <w:bookmarkEnd w:id="19"/>
    </w:p>
    <w:sectPr>
      <w:pgSz w:w="11906" w:h="16838"/>
      <w:pgMar w:top="1020" w:right="1134" w:bottom="10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E6858"/>
    <w:multiLevelType w:val="multilevel"/>
    <w:tmpl w:val="73CE6858"/>
    <w:lvl w:ilvl="0" w:tentative="0">
      <w:start w:val="1"/>
      <w:numFmt w:val="decimal"/>
      <w:lvlText w:val="第%1章"/>
      <w:lvlJc w:val="left"/>
      <w:pPr>
        <w:tabs>
          <w:tab w:val="left" w:pos="9723"/>
        </w:tabs>
        <w:ind w:left="8646" w:firstLine="0"/>
      </w:pPr>
      <w:rPr>
        <w:rFonts w:hint="eastAsia" w:ascii="宋体" w:hAnsi="宋体" w:eastAsia="宋体"/>
        <w:lang w:val="en-US"/>
      </w:rPr>
    </w:lvl>
    <w:lvl w:ilvl="1" w:tentative="0">
      <w:start w:val="1"/>
      <w:numFmt w:val="decimal"/>
      <w:pStyle w:val="2"/>
      <w:lvlText w:val="§%1.%2"/>
      <w:lvlJc w:val="left"/>
      <w:pPr>
        <w:tabs>
          <w:tab w:val="left" w:pos="1080"/>
        </w:tabs>
        <w:ind w:left="0" w:firstLine="0"/>
      </w:pPr>
      <w:rPr>
        <w:rFonts w:hint="eastAsia"/>
        <w:lang w:val="en-US"/>
      </w:rPr>
    </w:lvl>
    <w:lvl w:ilvl="2" w:tentative="0">
      <w:start w:val="1"/>
      <w:numFmt w:val="decimal"/>
      <w:lvlText w:val="§%1.%2.%3"/>
      <w:lvlJc w:val="left"/>
      <w:pPr>
        <w:tabs>
          <w:tab w:val="left" w:pos="3120"/>
        </w:tabs>
        <w:ind w:left="1986" w:hanging="142"/>
      </w:pPr>
      <w:rPr>
        <w:b/>
        <w:bCs/>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2325"/>
        </w:tabs>
        <w:ind w:left="737" w:firstLine="227"/>
      </w:pPr>
      <w:rPr>
        <w:rFonts w:hint="eastAsia" w:ascii="宋体" w:hAnsi="宋体" w:eastAsia="宋体"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tabs>
          <w:tab w:val="left" w:pos="1800"/>
        </w:tabs>
        <w:ind w:left="0" w:firstLine="0"/>
      </w:pPr>
      <w:rPr>
        <w:rFonts w:hint="eastAsia"/>
      </w:rPr>
    </w:lvl>
    <w:lvl w:ilvl="5" w:tentative="0">
      <w:start w:val="1"/>
      <w:numFmt w:val="decimal"/>
      <w:lvlText w:val="§%1.%2.%3.%4.%5.%6"/>
      <w:lvlJc w:val="left"/>
      <w:pPr>
        <w:tabs>
          <w:tab w:val="left" w:pos="2574"/>
        </w:tabs>
        <w:ind w:left="2268" w:hanging="1134"/>
      </w:pPr>
      <w:rPr>
        <w:rFonts w:hint="eastAsia"/>
      </w:rPr>
    </w:lvl>
    <w:lvl w:ilvl="6" w:tentative="0">
      <w:start w:val="1"/>
      <w:numFmt w:val="decimal"/>
      <w:lvlText w:val="%1.%2.%3.%4.%5.%6.%7"/>
      <w:lvlJc w:val="left"/>
      <w:pPr>
        <w:tabs>
          <w:tab w:val="left" w:pos="4551"/>
        </w:tabs>
        <w:ind w:left="4027" w:hanging="1276"/>
      </w:pPr>
      <w:rPr>
        <w:rFonts w:hint="eastAsia"/>
      </w:rPr>
    </w:lvl>
    <w:lvl w:ilvl="7" w:tentative="0">
      <w:start w:val="1"/>
      <w:numFmt w:val="decimal"/>
      <w:lvlText w:val="%1.%2.%3.%4.%5.%6.%7.%8"/>
      <w:lvlJc w:val="left"/>
      <w:pPr>
        <w:tabs>
          <w:tab w:val="left" w:pos="5336"/>
        </w:tabs>
        <w:ind w:left="4594" w:hanging="1418"/>
      </w:pPr>
      <w:rPr>
        <w:rFonts w:hint="eastAsia"/>
      </w:rPr>
    </w:lvl>
    <w:lvl w:ilvl="8" w:tentative="0">
      <w:start w:val="1"/>
      <w:numFmt w:val="decimal"/>
      <w:lvlText w:val="%1.%2.%3.%4.%5.%6.%7.%8.%9"/>
      <w:lvlJc w:val="left"/>
      <w:pPr>
        <w:tabs>
          <w:tab w:val="left" w:pos="6122"/>
        </w:tabs>
        <w:ind w:left="53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Mjk0NTFmYmQ5YmQwOGY1NjIxNzRjMmFiZDQwNTkifQ=="/>
  </w:docVars>
  <w:rsids>
    <w:rsidRoot w:val="00000000"/>
    <w:rsid w:val="515E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24"/>
      <w:szCs w:val="24"/>
      <w:lang w:val="en-US" w:eastAsia="zh-CN" w:bidi="ar"/>
    </w:rPr>
  </w:style>
  <w:style w:type="paragraph" w:styleId="2">
    <w:name w:val="heading 2"/>
    <w:basedOn w:val="1"/>
    <w:next w:val="1"/>
    <w:qFormat/>
    <w:uiPriority w:val="9"/>
    <w:pPr>
      <w:keepNext/>
      <w:keepLines/>
      <w:numPr>
        <w:ilvl w:val="1"/>
        <w:numId w:val="1"/>
      </w:numPr>
      <w:tabs>
        <w:tab w:val="left" w:pos="1077"/>
        <w:tab w:val="left" w:pos="2070"/>
        <w:tab w:val="left" w:pos="9723"/>
        <w:tab w:val="clear" w:pos="1080"/>
      </w:tabs>
      <w:ind w:firstLineChars="0"/>
      <w:outlineLvl w:val="1"/>
    </w:pPr>
    <w:rPr>
      <w:rFonts w:ascii="Arial" w:hAnsi="Arial" w:cs="Times New Roman"/>
      <w:b/>
      <w:bCs/>
      <w:sz w:val="30"/>
      <w:szCs w:val="32"/>
    </w:rPr>
  </w:style>
  <w:style w:type="paragraph" w:styleId="4">
    <w:name w:val="heading 3"/>
    <w:basedOn w:val="1"/>
    <w:next w:val="1"/>
    <w:qFormat/>
    <w:uiPriority w:val="0"/>
    <w:pPr>
      <w:keepNext/>
      <w:keepLines/>
      <w:spacing w:before="260" w:beforeLines="0" w:after="260" w:afterLines="0" w:line="416" w:lineRule="auto"/>
      <w:outlineLvl w:val="2"/>
    </w:pPr>
    <w:rPr>
      <w:b/>
      <w:bCs/>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w:basedOn w:val="1"/>
    <w:next w:val="6"/>
    <w:qFormat/>
    <w:uiPriority w:val="0"/>
    <w:pPr>
      <w:ind w:firstLine="660"/>
    </w:pPr>
    <w:rPr>
      <w:rFonts w:ascii="宋体" w:hAnsi="宋体"/>
      <w:color w:val="000000"/>
      <w:sz w:val="24"/>
      <w:szCs w:val="20"/>
    </w:rPr>
  </w:style>
  <w:style w:type="paragraph" w:styleId="6">
    <w:name w:val="envelope return"/>
    <w:basedOn w:val="1"/>
    <w:qFormat/>
    <w:uiPriority w:val="0"/>
    <w:pPr>
      <w:snapToGrid w:val="0"/>
    </w:pPr>
    <w:rPr>
      <w:rFonts w:ascii="Arial" w:hAnsi="Arial"/>
    </w:rPr>
  </w:style>
  <w:style w:type="paragraph" w:styleId="7">
    <w:name w:val="Body Text First Indent 2"/>
    <w:basedOn w:val="5"/>
    <w:unhideWhenUsed/>
    <w:qFormat/>
    <w:uiPriority w:val="0"/>
    <w:pPr>
      <w:spacing w:after="120"/>
      <w:ind w:left="420" w:leftChars="200" w:firstLine="420" w:firstLineChars="200"/>
    </w:pPr>
    <w:rPr>
      <w:rFonts w:ascii="Times New Roman" w:hAnsi="Times New Roman"/>
      <w:color w:val="auto"/>
      <w:sz w:val="21"/>
      <w:szCs w:val="24"/>
      <w:lang w:val="en-US" w:eastAsia="zh-CN"/>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2022-06-16T09:27:46Z</dcterms:created>
  <dc:creator>Administrator</dc:creator>
  <cp:lastModifiedBy>Administrator</cp:lastModifiedBy>
  <dcterms:modified xsi:type="dcterms:W3CDTF">2022-06-16T09:27:52Z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6F2171FBEC424296A3C0815E3A46DEF0</vt:lpwstr>
  </property>
</Properties>
</file>